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5ac97fee10ce4a8edf16bea7f5bb9c6969357"/>
    <w:p>
      <w:pPr>
        <w:pStyle w:val="Heading3"/>
      </w:pPr>
      <w:r>
        <w:t xml:space="preserve">Комиссии по соблюдению требований к служебному поведению государственных гражданских служащих управы Южнопортового района города Москвы и урегулированию конфликта интересов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http://uzhnoport.mos.ru/anti-corruption/the-commission-for-observance-of-requirements-for-the-official-behaviour-of-state-civil-employees-of/detail/9776157.html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anti-corruption/the-commission-for-observance-of-requirements-for-the-official-behaviour-of-state-civil-employees-of/detail/9776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anti-corruption/the-commission-for-observance-of-requirements-for-the-official-behaviour-of-state-civil-employees-of/detail/9776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2025-04-11T13:58:59Z</dcterms:created>
  <dcterms:modified xsi:type="dcterms:W3CDTF">2025-04-11T13:58:59Z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