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31531b1a1b7478860e0f0641dce6dfec61f24"/>
    <w:p>
      <w:pPr>
        <w:pStyle w:val="Heading3"/>
      </w:pPr>
      <w:r>
        <w:t xml:space="preserve">Рисунки детей Южнопортового района станут иллюстрациями для книг</w:t>
      </w:r>
    </w:p>
    <w:p>
      <w:pPr>
        <w:pStyle w:val="FirstParagraph"/>
      </w:pPr>
      <w:r>
        <w:t xml:space="preserve">18.04.2016</w:t>
      </w:r>
    </w:p>
    <w:bookmarkStart w:id="22" w:name="X29532a1454636e290417387021739c210cbcabe"/>
    <w:p>
      <w:pPr>
        <w:pStyle w:val="Heading5"/>
      </w:pPr>
      <w:r>
        <w:t xml:space="preserve">В Центре Непрерывного Художественного Образования МИОО завершила работу Выставка конкурса выставочных проектов «Мир вокруг нас»</w:t>
      </w:r>
    </w:p>
    <w:p>
      <w:pPr>
        <w:pStyle w:val="FirstParagraph"/>
      </w:pPr>
      <w:r>
        <w:t xml:space="preserve">Преподаватели и школьники ГБОУ №2129 приняли участие в конкурсе выставочных проектов «Мир вокруг нас».</w:t>
      </w:r>
    </w:p>
    <w:p>
      <w:pPr>
        <w:pStyle w:val="BodyText"/>
      </w:pPr>
      <w:r>
        <w:t xml:space="preserve">Представленные на выставке художественные произведения учащихся детей ГБОУ «Школа № 2129 им. Героя Советского Союза П. И. Романова» по окончании экспозиции были преданы в дар музейному фонду Центра НХО ВО МИОО.</w:t>
      </w:r>
    </w:p>
    <w:p>
      <w:pPr>
        <w:pStyle w:val="BodyText"/>
      </w:pPr>
      <w:r>
        <w:t xml:space="preserve">Эти работы будут использованы для иллюстрирования книг, статей, методической литературы.</w:t>
      </w:r>
    </w:p>
    <w:p>
      <w:pPr>
        <w:pStyle w:val="BodyText"/>
      </w:pPr>
      <w:r>
        <w:t xml:space="preserve">Учитывая огромный опыт учителей СП ГБОУ Школы № 2129 в работе с детьми с ОВЗ, заместитель директора ЦНХО МИОО Лариса Неменская предложила им организовать совместное городское мероприятие, на котором школьные педагоги поделятся с коллегами своими навыками и советами, сообщает газета «Наш район Южнопортовый»</w:t>
      </w:r>
    </w:p>
    <w:p>
      <w:pPr>
        <w:pStyle w:val="BodyText"/>
      </w:pPr>
      <w:r>
        <w:t xml:space="preserve">антикризисному жилью будет недолгим, считает директор по маркетингу девелоперской компании «Лидер Групп» Дмитрий Пантелеймонов.</w:t>
      </w:r>
    </w:p>
    <w:p>
      <w:pPr>
        <w:pStyle w:val="BodyText"/>
      </w:pPr>
      <w:r>
        <w:t xml:space="preserve">— Через пару лет, когда экономическая ситуация в стране улучшится, и потребители станут делать выбор в пользу классических квартир, — добавил он. — Так что того объема студий, который есть на рынке сейчас, хватит на удовлетворение скромного кризисного спроса.</w:t>
      </w:r>
    </w:p>
    <w:p>
      <w:pPr>
        <w:pStyle w:val="BodyText"/>
      </w:pPr>
      <w:r>
        <w:t xml:space="preserve">Кстати, семейные пары с детьми и сейчас стараются не приобретать студии — слишком тесно. Владельцами антикризисных квартир обычно становятся студенты, молодые специалисты, реже — инвесторы, сообщает газета «Нижегородский район».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http://uzhnoport.mos.ru/presscenter/news/detail/2808414.html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808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808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2025-02-24T09:09:36Z</dcterms:created>
  <dcterms:modified xsi:type="dcterms:W3CDTF">2025-02-24T09:09:36Z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