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caead047089e78341e27173b2bb5b02fc3dc8"/>
    <w:p>
      <w:pPr>
        <w:pStyle w:val="Heading3"/>
      </w:pPr>
      <w:r>
        <w:t xml:space="preserve">С 1 февраля страховые пенсии увеличиваются на 5,4%</w:t>
      </w:r>
    </w:p>
    <w:p>
      <w:pPr>
        <w:pStyle w:val="FirstParagraph"/>
      </w:pPr>
      <w:r>
        <w:t xml:space="preserve">01.02.2017</w:t>
      </w:r>
    </w:p>
    <w:p>
      <w:pPr>
        <w:pStyle w:val="BodyText"/>
      </w:pPr>
      <w:r>
        <w:t xml:space="preserve">С 1 февраля 2017 года страховые пенсии неработающих пенсионеров в соответствии с постановлениями Правительства РФ, увеличиваются на 5,4%. Повышение касается всех видов страховых пенсий: по старости, инвалидности, по случаю потери кормильца неработающих пенсионеров.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http://uzhnoport.mos.ru/presscenter/true/detail/4827143.html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4827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4827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2025-04-04T02:45:06Z</dcterms:created>
  <dcterms:modified xsi:type="dcterms:W3CDTF">2025-04-04T02:45:06Z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