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5a7fee0634dc1126fddc3b2acffe02fa6cb38a"/>
    <w:p>
      <w:pPr>
        <w:pStyle w:val="Heading3"/>
      </w:pPr>
      <w:r>
        <w:t xml:space="preserve">Итоги первого полугодия подведены в Департаменте по делам гражданской обороны, чрезвычайным ситуациям и пожарной безопасности</w:t>
      </w:r>
    </w:p>
    <w:p>
      <w:pPr>
        <w:pStyle w:val="FirstParagraph"/>
      </w:pPr>
      <w:r>
        <w:t xml:space="preserve">07.07.2017</w:t>
      </w:r>
    </w:p>
    <w:p>
      <w:pPr>
        <w:pStyle w:val="BodyText"/>
      </w:pPr>
      <w:r>
        <w:drawing>
          <wp:inline>
            <wp:extent cx="273558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0e4/itogi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учебно-методическом центре по ГО и ЧС Москвы под руководством Олега Васюкова состоялось подведение итогов деятельности Департамента по делам гражданской обороны, чрезвычайным ситуациям и пожарной безопасности города Москвы за I полугодие 2017 года.</w:t>
      </w:r>
    </w:p>
    <w:p>
      <w:pPr>
        <w:pStyle w:val="BodyText"/>
      </w:pPr>
      <w:r>
        <w:t xml:space="preserve">В совещании приняли участие заместители руководителя Департамента ГОЧСиПБ, начальники структурных подразделений и подведомственных организаций, а также начальники поисково-спасательных станций и пожарно-спасательных отрядов.</w:t>
      </w:r>
    </w:p>
    <w:p>
      <w:pPr>
        <w:pStyle w:val="BodyText"/>
      </w:pPr>
      <w:r>
        <w:t xml:space="preserve">В своих выступлениях заместители руководителя Департамента дали качественную оценку по результатам деятельности структурных подразделений, подведомственных организаций и должностных лиц за первое полугодие 2017 года.</w:t>
      </w:r>
    </w:p>
    <w:p>
      <w:pPr>
        <w:pStyle w:val="BodyText"/>
      </w:pPr>
      <w:r>
        <w:t xml:space="preserve">«За первое полугодие 2017 года пожарно-спасательные подразделения совершили 16 286 выездов на пожары и происшествия. Стоит отметить, что наблюдается уменьшение количества выездов почти на 20% по сравнению с аналогичным периодом прошлого года. При этом общим достижением стоит считать 249 спасенных жизней силами спасательных подразделений Департамента ГОЧСиПБ. С начала 2017 года на пожарах спасено 99 человек, на воде 49 человек и 121 человек во время ликвидации различных происшествий», - доложил заместитель руководителя Департамента ГОЧСиПБ Владимир Сченснович во время своего выступления.</w:t>
      </w:r>
    </w:p>
    <w:p>
      <w:pPr>
        <w:pStyle w:val="BodyText"/>
      </w:pPr>
      <w:r>
        <w:t xml:space="preserve">Владимир Сченснович подчеркнул, что за отчетный период подразделениями Московского авиационного центра совершено 2792 вылета для помощи населению и на тушение пожаров. Вертолетами ГКУ «МАЦ» госпитализировано 304 человека.</w:t>
      </w:r>
    </w:p>
    <w:p>
      <w:pPr>
        <w:pStyle w:val="BodyText"/>
      </w:pPr>
      <w:r>
        <w:t xml:space="preserve">Было отмечено, что сотрудниками Департамента ГОЧСиПБ ведется активная работа по пропаганде безопасного образа жизни, профилактике пожарной безопасности и обучению молодежи навыкам оказания первой помощи.</w:t>
      </w:r>
    </w:p>
    <w:p>
      <w:pPr>
        <w:pStyle w:val="BodyText"/>
      </w:pPr>
      <w:r>
        <w:t xml:space="preserve">В рамках проведения года гражданской обороны и 80-летия МПВО с подрастающим поколением сотрудниками окружных управлений Департамента и подведомственных организаций проводятся эстафеты безопасности, открытые уроки, экскурсии, различные мастер-классы и дни открытых дверей.</w:t>
      </w:r>
    </w:p>
    <w:p>
      <w:pPr>
        <w:pStyle w:val="BodyText"/>
      </w:pPr>
      <w:r>
        <w:t xml:space="preserve">В Департаменте проведен ряд пресс-конференций, организованы пресс-туры для представителей СМИ, что позволило подробнее рассказать жителям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столицы о работе московских пожарных, спасателей, водолазов, летчиков и кинологов.</w:t>
      </w:r>
    </w:p>
    <w:p>
      <w:pPr>
        <w:pStyle w:val="BodyText"/>
      </w:pPr>
      <w:r>
        <w:drawing>
          <wp:inline>
            <wp:extent cx="2667000" cy="153924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bb2/itogi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39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http://uzhnoport.mos.ru/presscenter/true/detail/6397945.html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uzhnoport.mos.ru" TargetMode="External" /><Relationship Type="http://schemas.openxmlformats.org/officeDocument/2006/relationships/hyperlink" Id="rId27" Target="http://uzhnoport.mos.ru/presscenter/true/detail/6397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uzhnoport.mos.ru" TargetMode="External" /><Relationship Type="http://schemas.openxmlformats.org/officeDocument/2006/relationships/hyperlink" Id="rId27" Target="http://uzhnoport.mos.ru/presscenter/true/detail/6397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2025-08-02T05:53:14Z</dcterms:created>
  <dcterms:modified xsi:type="dcterms:W3CDTF">2025-08-02T05:53:14Z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