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управление-по-ювао-департамента-гочсипб"/>
    <w:p>
      <w:pPr>
        <w:pStyle w:val="Heading3"/>
      </w:pPr>
      <w:r>
        <w:t xml:space="preserve">Управление по ЮВАО Департамента ГОЧСиПБ</w:t>
      </w:r>
    </w:p>
    <w:p>
      <w:pPr>
        <w:pStyle w:val="FirstParagraph"/>
      </w:pPr>
      <w:r>
        <w:t xml:space="preserve">16.01.2018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http://uzhnoport.mos.ru/presscenter/true/detail/7089555.html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Южнопортового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zhnoport.mos.ru" TargetMode="External" /><Relationship Type="http://schemas.openxmlformats.org/officeDocument/2006/relationships/hyperlink" Id="rId20" Target="http://uzhnoport.mos.ru/presscenter/true/detail/708955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zhnoport.mos.ru" TargetMode="External" /><Relationship Type="http://schemas.openxmlformats.org/officeDocument/2006/relationships/hyperlink" Id="rId20" Target="http://uzhnoport.mos.ru/presscenter/true/detail/708955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2024-12-18T17:26:50Z</dcterms:created>
  <dcterms:modified xsi:type="dcterms:W3CDTF">2024-12-18T17:26:50Z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