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77a528e2708a7ff865a183aa3207485e7397d2"/>
    <w:p>
      <w:pPr>
        <w:pStyle w:val="Heading3"/>
      </w:pPr>
      <w:r>
        <w:t xml:space="preserve">Возможные способы дистанционной оплаты Единых платежных документов за жилищно-коммунальные услуги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drawing>
          <wp:inline>
            <wp:extent cx="5334000" cy="37749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hnoport.mos.ru/www/upload/medialibrary/9ca/oplata-distantsion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9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http://uzhnoport.mos.ru/presscenter/true/detail/8841461.html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8841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presscenter/true/detail/8841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2025-08-06T01:31:37Z</dcterms:created>
  <dcterms:modified xsi:type="dcterms:W3CDTF">2025-08-06T01:31:37Z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